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5CF" w:rsidRPr="002A15CF" w:rsidRDefault="002A15CF" w:rsidP="002A15CF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2A15CF">
        <w:rPr>
          <w:sz w:val="24"/>
          <w:szCs w:val="24"/>
        </w:rPr>
        <w:t>19/5/2026</w:t>
      </w:r>
      <w:proofErr w:type="gramEnd"/>
      <w:r w:rsidRPr="002A15CF">
        <w:rPr>
          <w:sz w:val="24"/>
          <w:szCs w:val="24"/>
        </w:rPr>
        <w:t xml:space="preserve"> tarihli ve 33258 sayılı Resmi </w:t>
      </w:r>
      <w:proofErr w:type="spellStart"/>
      <w:r w:rsidRPr="002A15CF">
        <w:rPr>
          <w:sz w:val="24"/>
          <w:szCs w:val="24"/>
        </w:rPr>
        <w:t>Gazete'de</w:t>
      </w:r>
      <w:proofErr w:type="spellEnd"/>
      <w:r w:rsidRPr="002A15CF">
        <w:rPr>
          <w:sz w:val="24"/>
          <w:szCs w:val="24"/>
        </w:rPr>
        <w:t xml:space="preserve"> yayımlanan 18/5/2026 tarihli ve 11344 sayılı Cumhurbaşkanı Kararına istinaden </w:t>
      </w:r>
      <w:proofErr w:type="spellStart"/>
      <w:r w:rsidRPr="002A15CF">
        <w:rPr>
          <w:sz w:val="24"/>
          <w:szCs w:val="24"/>
        </w:rPr>
        <w:t>tevkifat</w:t>
      </w:r>
      <w:proofErr w:type="spellEnd"/>
      <w:r w:rsidRPr="002A15CF">
        <w:rPr>
          <w:sz w:val="24"/>
          <w:szCs w:val="24"/>
        </w:rPr>
        <w:t xml:space="preserve"> oranlarının yeniden belirlenmesi üzerine Muhtasar ve Prim Hizmet Beyannamelerinde “Vergiye Tabi İşlemler” kulakçığında “Matrah ve Vergi Bildirimi” tablosunda “Ödemelerin Tür Kodu” ile “Ödemeler" kulakçığında “</w:t>
      </w:r>
      <w:proofErr w:type="spellStart"/>
      <w:r w:rsidRPr="002A15CF">
        <w:rPr>
          <w:sz w:val="24"/>
          <w:szCs w:val="24"/>
        </w:rPr>
        <w:t>Tevkifata</w:t>
      </w:r>
      <w:proofErr w:type="spellEnd"/>
      <w:r w:rsidRPr="002A15CF">
        <w:rPr>
          <w:sz w:val="24"/>
          <w:szCs w:val="24"/>
        </w:rPr>
        <w:t xml:space="preserve"> Tabi Ödemelere Ait Bildirim (Ücret ve Ücret Sayılan Ödemeler Hariç)” tablosunda “Tür Kodu” </w:t>
      </w:r>
      <w:proofErr w:type="spellStart"/>
      <w:r w:rsidRPr="002A15CF">
        <w:rPr>
          <w:sz w:val="24"/>
          <w:szCs w:val="24"/>
        </w:rPr>
        <w:t>combobox’ında</w:t>
      </w:r>
      <w:proofErr w:type="spellEnd"/>
      <w:r w:rsidRPr="002A15CF">
        <w:rPr>
          <w:sz w:val="24"/>
          <w:szCs w:val="24"/>
        </w:rPr>
        <w:t xml:space="preserve"> aşağıdaki tabloda yer alan Tür Kodları eklenmiştir.</w:t>
      </w:r>
    </w:p>
    <w:p w:rsidR="002A15CF" w:rsidRPr="002A15CF" w:rsidRDefault="002A15CF" w:rsidP="002A15CF">
      <w:pPr>
        <w:shd w:val="clear" w:color="auto" w:fill="FFFFFF"/>
        <w:spacing w:after="0" w:line="240" w:lineRule="auto"/>
        <w:jc w:val="both"/>
        <w:rPr>
          <w:i/>
          <w:color w:val="002060"/>
          <w:sz w:val="24"/>
          <w:szCs w:val="24"/>
        </w:rPr>
      </w:pPr>
    </w:p>
    <w:p w:rsidR="002A15CF" w:rsidRPr="002A15CF" w:rsidRDefault="002A15CF" w:rsidP="002A15CF">
      <w:pPr>
        <w:shd w:val="clear" w:color="auto" w:fill="FFFFFF"/>
        <w:spacing w:after="0" w:line="240" w:lineRule="auto"/>
        <w:jc w:val="both"/>
        <w:rPr>
          <w:i/>
          <w:color w:val="002060"/>
          <w:sz w:val="24"/>
          <w:szCs w:val="24"/>
        </w:rPr>
      </w:pPr>
    </w:p>
    <w:p w:rsidR="002A15CF" w:rsidRPr="002A15CF" w:rsidRDefault="002A15CF" w:rsidP="002A15CF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oKlavuzu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5387"/>
        <w:gridCol w:w="1559"/>
      </w:tblGrid>
      <w:tr w:rsidR="002A15CF" w:rsidRPr="002A15CF" w:rsidTr="00452F20">
        <w:tc>
          <w:tcPr>
            <w:tcW w:w="851" w:type="dxa"/>
          </w:tcPr>
          <w:p w:rsidR="002A15CF" w:rsidRPr="002A15CF" w:rsidRDefault="002A15CF" w:rsidP="002A15CF">
            <w:pPr>
              <w:jc w:val="both"/>
              <w:rPr>
                <w:sz w:val="24"/>
                <w:szCs w:val="24"/>
              </w:rPr>
            </w:pPr>
            <w:r w:rsidRPr="002A15CF">
              <w:rPr>
                <w:sz w:val="24"/>
                <w:szCs w:val="24"/>
              </w:rPr>
              <w:t>TÜR KODU</w:t>
            </w:r>
          </w:p>
        </w:tc>
        <w:tc>
          <w:tcPr>
            <w:tcW w:w="1984" w:type="dxa"/>
          </w:tcPr>
          <w:p w:rsidR="002A15CF" w:rsidRPr="002A15CF" w:rsidRDefault="002A15CF" w:rsidP="002A15CF">
            <w:pPr>
              <w:jc w:val="both"/>
              <w:rPr>
                <w:sz w:val="24"/>
                <w:szCs w:val="24"/>
              </w:rPr>
            </w:pPr>
            <w:r w:rsidRPr="002A15CF">
              <w:rPr>
                <w:sz w:val="24"/>
                <w:szCs w:val="24"/>
              </w:rPr>
              <w:t>GRUP</w:t>
            </w:r>
          </w:p>
        </w:tc>
        <w:tc>
          <w:tcPr>
            <w:tcW w:w="5387" w:type="dxa"/>
          </w:tcPr>
          <w:p w:rsidR="002A15CF" w:rsidRPr="002A15CF" w:rsidRDefault="002A15CF" w:rsidP="002A15CF">
            <w:pPr>
              <w:jc w:val="both"/>
              <w:rPr>
                <w:sz w:val="24"/>
                <w:szCs w:val="24"/>
              </w:rPr>
            </w:pPr>
            <w:r w:rsidRPr="002A15CF">
              <w:rPr>
                <w:sz w:val="24"/>
                <w:szCs w:val="24"/>
              </w:rPr>
              <w:t>AÇIKLAMA</w:t>
            </w:r>
          </w:p>
        </w:tc>
        <w:tc>
          <w:tcPr>
            <w:tcW w:w="1559" w:type="dxa"/>
          </w:tcPr>
          <w:p w:rsidR="002A15CF" w:rsidRPr="002A15CF" w:rsidRDefault="002A15CF" w:rsidP="002A15CF">
            <w:pPr>
              <w:jc w:val="both"/>
              <w:rPr>
                <w:sz w:val="24"/>
                <w:szCs w:val="24"/>
              </w:rPr>
            </w:pPr>
          </w:p>
        </w:tc>
      </w:tr>
      <w:tr w:rsidR="002A15CF" w:rsidRPr="002A15CF" w:rsidTr="00452F20">
        <w:tc>
          <w:tcPr>
            <w:tcW w:w="851" w:type="dxa"/>
          </w:tcPr>
          <w:p w:rsidR="002A15CF" w:rsidRPr="002A15CF" w:rsidRDefault="002A15CF" w:rsidP="002A15CF">
            <w:pPr>
              <w:jc w:val="both"/>
              <w:rPr>
                <w:sz w:val="24"/>
                <w:szCs w:val="24"/>
              </w:rPr>
            </w:pPr>
            <w:r w:rsidRPr="002A15CF">
              <w:rPr>
                <w:sz w:val="24"/>
                <w:szCs w:val="24"/>
              </w:rPr>
              <w:t>030</w:t>
            </w:r>
          </w:p>
        </w:tc>
        <w:tc>
          <w:tcPr>
            <w:tcW w:w="1984" w:type="dxa"/>
          </w:tcPr>
          <w:p w:rsidR="002A15CF" w:rsidRPr="002A15CF" w:rsidRDefault="002A15CF" w:rsidP="002A15CF">
            <w:pPr>
              <w:jc w:val="both"/>
              <w:rPr>
                <w:sz w:val="24"/>
                <w:szCs w:val="24"/>
              </w:rPr>
            </w:pPr>
            <w:r w:rsidRPr="002A15CF">
              <w:rPr>
                <w:sz w:val="24"/>
                <w:szCs w:val="24"/>
              </w:rPr>
              <w:t>Yıllara Yaygın İnşaat</w:t>
            </w:r>
          </w:p>
          <w:p w:rsidR="002A15CF" w:rsidRPr="002A15CF" w:rsidRDefault="002A15CF" w:rsidP="002A15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2066"/>
            </w:tblGrid>
            <w:tr w:rsidR="002A15CF" w:rsidRPr="002A15CF" w:rsidTr="00452F20">
              <w:trPr>
                <w:tblCellSpacing w:w="15" w:type="dxa"/>
              </w:trPr>
              <w:tc>
                <w:tcPr>
                  <w:tcW w:w="390" w:type="dxa"/>
                  <w:vAlign w:val="center"/>
                  <w:hideMark/>
                </w:tcPr>
                <w:p w:rsidR="002A15CF" w:rsidRPr="002A15CF" w:rsidRDefault="002A15CF" w:rsidP="002A15CF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21" w:type="dxa"/>
                  <w:vAlign w:val="center"/>
                  <w:hideMark/>
                </w:tcPr>
                <w:p w:rsidR="002A15CF" w:rsidRPr="002A15CF" w:rsidRDefault="002A15CF" w:rsidP="002A15CF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A15CF" w:rsidRPr="002A15CF" w:rsidRDefault="002A15CF" w:rsidP="002A15CF">
            <w:pPr>
              <w:jc w:val="both"/>
              <w:rPr>
                <w:sz w:val="24"/>
                <w:szCs w:val="24"/>
              </w:rPr>
            </w:pPr>
            <w:r w:rsidRPr="002A15CF">
              <w:rPr>
                <w:sz w:val="24"/>
                <w:szCs w:val="24"/>
              </w:rPr>
              <w:t>Birden Fazla Takvim Yılına Yaygın Nükleer Santral İnşaatı Ve Onarım İşleri Dolayısıyla Bu İşleri Yapanlara Ödenen İstihkak Bedelleri (GVK Md. 94/3)</w:t>
            </w:r>
          </w:p>
        </w:tc>
        <w:tc>
          <w:tcPr>
            <w:tcW w:w="1559" w:type="dxa"/>
          </w:tcPr>
          <w:p w:rsidR="002A15CF" w:rsidRPr="002A15CF" w:rsidRDefault="002A15CF" w:rsidP="002A15CF">
            <w:pPr>
              <w:jc w:val="both"/>
              <w:rPr>
                <w:sz w:val="24"/>
                <w:szCs w:val="24"/>
              </w:rPr>
            </w:pPr>
            <w:r w:rsidRPr="002A15CF">
              <w:rPr>
                <w:sz w:val="24"/>
                <w:szCs w:val="24"/>
              </w:rPr>
              <w:t>EKLENDİ</w:t>
            </w:r>
          </w:p>
        </w:tc>
      </w:tr>
      <w:tr w:rsidR="002A15CF" w:rsidRPr="002A15CF" w:rsidTr="00452F20">
        <w:tc>
          <w:tcPr>
            <w:tcW w:w="851" w:type="dxa"/>
          </w:tcPr>
          <w:p w:rsidR="002A15CF" w:rsidRPr="002A15CF" w:rsidRDefault="002A15CF" w:rsidP="002A15CF">
            <w:pPr>
              <w:jc w:val="both"/>
              <w:rPr>
                <w:sz w:val="24"/>
                <w:szCs w:val="24"/>
              </w:rPr>
            </w:pPr>
            <w:r w:rsidRPr="002A15CF">
              <w:rPr>
                <w:sz w:val="24"/>
                <w:szCs w:val="24"/>
              </w:rPr>
              <w:t>039</w:t>
            </w:r>
          </w:p>
        </w:tc>
        <w:tc>
          <w:tcPr>
            <w:tcW w:w="1984" w:type="dxa"/>
          </w:tcPr>
          <w:p w:rsidR="002A15CF" w:rsidRPr="002A15CF" w:rsidRDefault="002A15CF" w:rsidP="002A15CF">
            <w:pPr>
              <w:jc w:val="both"/>
              <w:rPr>
                <w:sz w:val="24"/>
                <w:szCs w:val="24"/>
              </w:rPr>
            </w:pPr>
            <w:r w:rsidRPr="002A15CF">
              <w:rPr>
                <w:sz w:val="24"/>
                <w:szCs w:val="24"/>
              </w:rPr>
              <w:t>Yıllara Yaygın İnşaat</w:t>
            </w:r>
          </w:p>
          <w:p w:rsidR="002A15CF" w:rsidRPr="002A15CF" w:rsidRDefault="002A15CF" w:rsidP="002A15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2A15CF" w:rsidRPr="002A15CF" w:rsidRDefault="002A15CF" w:rsidP="002A15CF">
            <w:pPr>
              <w:jc w:val="both"/>
              <w:rPr>
                <w:sz w:val="24"/>
                <w:szCs w:val="24"/>
              </w:rPr>
            </w:pPr>
            <w:r w:rsidRPr="002A15CF">
              <w:rPr>
                <w:sz w:val="24"/>
                <w:szCs w:val="24"/>
              </w:rPr>
              <w:t>Birden Fazla Takvim Yılına Yaygın Nükleer Santral İnşaatı Ve Onarım İşleri Dolayısıyla Bu İşleri Yapanlara Ödenen İstihkak Bedelleri (KVK Md. 15/1-a)</w:t>
            </w:r>
          </w:p>
        </w:tc>
        <w:tc>
          <w:tcPr>
            <w:tcW w:w="1559" w:type="dxa"/>
          </w:tcPr>
          <w:p w:rsidR="002A15CF" w:rsidRPr="002A15CF" w:rsidRDefault="002A15CF" w:rsidP="002A15CF">
            <w:pPr>
              <w:jc w:val="both"/>
              <w:rPr>
                <w:sz w:val="24"/>
                <w:szCs w:val="24"/>
              </w:rPr>
            </w:pPr>
            <w:r w:rsidRPr="002A15CF">
              <w:rPr>
                <w:sz w:val="24"/>
                <w:szCs w:val="24"/>
              </w:rPr>
              <w:t>EKLENDİ</w:t>
            </w:r>
          </w:p>
        </w:tc>
      </w:tr>
      <w:tr w:rsidR="002A15CF" w:rsidRPr="002A15CF" w:rsidTr="00452F20">
        <w:tc>
          <w:tcPr>
            <w:tcW w:w="851" w:type="dxa"/>
          </w:tcPr>
          <w:p w:rsidR="002A15CF" w:rsidRPr="002A15CF" w:rsidRDefault="002A15CF" w:rsidP="002A15CF">
            <w:pPr>
              <w:jc w:val="both"/>
              <w:rPr>
                <w:sz w:val="24"/>
                <w:szCs w:val="24"/>
              </w:rPr>
            </w:pPr>
            <w:r w:rsidRPr="002A15CF">
              <w:rPr>
                <w:sz w:val="24"/>
                <w:szCs w:val="24"/>
              </w:rPr>
              <w:t>225</w:t>
            </w:r>
          </w:p>
        </w:tc>
        <w:tc>
          <w:tcPr>
            <w:tcW w:w="1984" w:type="dxa"/>
          </w:tcPr>
          <w:p w:rsidR="002A15CF" w:rsidRPr="002A15CF" w:rsidRDefault="002A15CF" w:rsidP="002A15CF">
            <w:pPr>
              <w:jc w:val="both"/>
              <w:rPr>
                <w:sz w:val="24"/>
                <w:szCs w:val="24"/>
              </w:rPr>
            </w:pPr>
            <w:r w:rsidRPr="002A15CF">
              <w:rPr>
                <w:sz w:val="24"/>
                <w:szCs w:val="24"/>
              </w:rPr>
              <w:t>KVK 30 ÖDM-Yıllara Yaygın İnşaat</w:t>
            </w:r>
          </w:p>
        </w:tc>
        <w:tc>
          <w:tcPr>
            <w:tcW w:w="5387" w:type="dxa"/>
          </w:tcPr>
          <w:p w:rsidR="002A15CF" w:rsidRPr="002A15CF" w:rsidRDefault="002A15CF" w:rsidP="002A15CF">
            <w:pPr>
              <w:jc w:val="both"/>
              <w:rPr>
                <w:sz w:val="24"/>
                <w:szCs w:val="24"/>
              </w:rPr>
            </w:pPr>
            <w:r w:rsidRPr="002A15CF">
              <w:rPr>
                <w:sz w:val="24"/>
                <w:szCs w:val="24"/>
              </w:rPr>
              <w:t>Dar Mükellef Kurumlara Birden Fazla Takvim Yılına Yaygın Nükleer Santral İnşaatı Ve Onarım İşleri Dolayısıyla Bu İşleri Yapanlara Ödenen İstihkak Bedelleri (KVK Md. 30/1-a)"</w:t>
            </w:r>
          </w:p>
        </w:tc>
        <w:tc>
          <w:tcPr>
            <w:tcW w:w="1559" w:type="dxa"/>
          </w:tcPr>
          <w:p w:rsidR="002A15CF" w:rsidRPr="002A15CF" w:rsidRDefault="002A15CF" w:rsidP="002A15CF">
            <w:pPr>
              <w:jc w:val="both"/>
              <w:rPr>
                <w:sz w:val="24"/>
                <w:szCs w:val="24"/>
              </w:rPr>
            </w:pPr>
            <w:r w:rsidRPr="002A15CF">
              <w:rPr>
                <w:sz w:val="24"/>
                <w:szCs w:val="24"/>
              </w:rPr>
              <w:t>EKLENDİ</w:t>
            </w:r>
          </w:p>
        </w:tc>
      </w:tr>
    </w:tbl>
    <w:p w:rsidR="002A15CF" w:rsidRPr="002A15CF" w:rsidRDefault="002A15CF" w:rsidP="002A15CF">
      <w:pPr>
        <w:shd w:val="clear" w:color="auto" w:fill="FFFFFF"/>
        <w:spacing w:after="0" w:line="240" w:lineRule="auto"/>
        <w:jc w:val="both"/>
        <w:rPr>
          <w:i/>
          <w:color w:val="002060"/>
          <w:sz w:val="24"/>
          <w:szCs w:val="24"/>
        </w:rPr>
      </w:pPr>
    </w:p>
    <w:p w:rsidR="002A15CF" w:rsidRPr="002A15CF" w:rsidRDefault="002A15CF" w:rsidP="002A15CF">
      <w:pPr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tr-TR"/>
        </w:rPr>
      </w:pPr>
    </w:p>
    <w:p w:rsidR="0079720B" w:rsidRPr="002A15CF" w:rsidRDefault="0079720B" w:rsidP="002A15CF">
      <w:pPr>
        <w:jc w:val="both"/>
        <w:rPr>
          <w:sz w:val="24"/>
          <w:szCs w:val="24"/>
        </w:rPr>
      </w:pPr>
      <w:bookmarkStart w:id="0" w:name="_GoBack"/>
      <w:bookmarkEnd w:id="0"/>
    </w:p>
    <w:sectPr w:rsidR="0079720B" w:rsidRPr="002A1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CF"/>
    <w:rsid w:val="002A15CF"/>
    <w:rsid w:val="0079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63E03-C690-443B-96A5-94219FF4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5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A1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CAMBAL</dc:creator>
  <cp:keywords/>
  <dc:description/>
  <cp:lastModifiedBy>FATMA CAMBAL</cp:lastModifiedBy>
  <cp:revision>1</cp:revision>
  <dcterms:created xsi:type="dcterms:W3CDTF">2026-07-03T09:04:00Z</dcterms:created>
  <dcterms:modified xsi:type="dcterms:W3CDTF">2026-07-03T09:11:00Z</dcterms:modified>
</cp:coreProperties>
</file>